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F3" w:rsidRPr="00441DA0" w:rsidRDefault="00B21DF3" w:rsidP="00B21DF3">
      <w:pPr>
        <w:pStyle w:val="a5"/>
      </w:pPr>
      <w:bookmarkStart w:id="0" w:name="_GoBack"/>
      <w:r w:rsidRPr="00441DA0">
        <w:rPr>
          <w:rFonts w:hint="eastAsia"/>
        </w:rPr>
        <w:t>接受特种设备监管机构的监督制度</w:t>
      </w:r>
    </w:p>
    <w:bookmarkEnd w:id="0"/>
    <w:p w:rsidR="00B21DF3" w:rsidRPr="00441DA0" w:rsidRDefault="00B21DF3" w:rsidP="00B21DF3">
      <w:pPr>
        <w:pStyle w:val="a9"/>
        <w:rPr>
          <w:sz w:val="24"/>
          <w:szCs w:val="24"/>
        </w:rPr>
      </w:pPr>
      <w:r w:rsidRPr="00441DA0">
        <w:rPr>
          <w:rFonts w:hint="eastAsia"/>
        </w:rPr>
        <w:t>JTY/GL18—</w:t>
      </w:r>
      <w:r w:rsidRPr="00441DA0">
        <w:t>2019</w:t>
      </w:r>
    </w:p>
    <w:p w:rsidR="00B21DF3" w:rsidRPr="00441DA0" w:rsidRDefault="00B21DF3" w:rsidP="00B21DF3">
      <w:pPr>
        <w:pStyle w:val="a9"/>
        <w:rPr>
          <w:b/>
          <w:sz w:val="32"/>
          <w:szCs w:val="32"/>
        </w:rPr>
      </w:pPr>
    </w:p>
    <w:p w:rsidR="00B21DF3" w:rsidRPr="00441DA0" w:rsidRDefault="00B21DF3" w:rsidP="00B21DF3">
      <w:pPr>
        <w:pStyle w:val="a8"/>
      </w:pPr>
      <w:r w:rsidRPr="00441DA0">
        <w:rPr>
          <w:rFonts w:hint="eastAsia"/>
        </w:rPr>
        <w:t>1.主题内容和适用范围</w:t>
      </w:r>
    </w:p>
    <w:p w:rsidR="00B21DF3" w:rsidRPr="00441DA0" w:rsidRDefault="00B21DF3" w:rsidP="00B21DF3">
      <w:pPr>
        <w:pStyle w:val="a6"/>
        <w:ind w:firstLine="560"/>
      </w:pPr>
      <w:r w:rsidRPr="00441DA0">
        <w:rPr>
          <w:rFonts w:hint="eastAsia"/>
        </w:rPr>
        <w:t>本标准规定了本院接受各级特种设备监管机构监督的要求和方法。</w:t>
      </w:r>
    </w:p>
    <w:p w:rsidR="00B21DF3" w:rsidRPr="00441DA0" w:rsidRDefault="00B21DF3" w:rsidP="00B21DF3">
      <w:pPr>
        <w:pStyle w:val="a6"/>
        <w:ind w:firstLine="560"/>
      </w:pPr>
      <w:r w:rsidRPr="00441DA0">
        <w:rPr>
          <w:rFonts w:hint="eastAsia"/>
        </w:rPr>
        <w:t>本标准适用于本院承担的全部检验工作。</w:t>
      </w:r>
    </w:p>
    <w:p w:rsidR="00B21DF3" w:rsidRPr="00441DA0" w:rsidRDefault="00B21DF3" w:rsidP="00B21DF3">
      <w:pPr>
        <w:pStyle w:val="a6"/>
        <w:ind w:firstLine="560"/>
        <w:rPr>
          <w:rFonts w:ascii="黑体" w:eastAsia="黑体" w:hAnsi="黑体"/>
        </w:rPr>
      </w:pPr>
    </w:p>
    <w:p w:rsidR="00B21DF3" w:rsidRPr="00441DA0" w:rsidRDefault="00B21DF3" w:rsidP="00B21DF3">
      <w:pPr>
        <w:pStyle w:val="a8"/>
      </w:pPr>
      <w:r w:rsidRPr="00441DA0">
        <w:rPr>
          <w:rFonts w:hint="eastAsia"/>
        </w:rPr>
        <w:t>2.职责</w:t>
      </w:r>
    </w:p>
    <w:p w:rsidR="00B21DF3" w:rsidRPr="00441DA0" w:rsidRDefault="00B21DF3" w:rsidP="00B21DF3">
      <w:pPr>
        <w:pStyle w:val="a7"/>
      </w:pPr>
      <w:r w:rsidRPr="00441DA0">
        <w:rPr>
          <w:rFonts w:hint="eastAsia"/>
        </w:rPr>
        <w:t>2.1  院长直接分管，质量负责人具体负责。</w:t>
      </w:r>
    </w:p>
    <w:p w:rsidR="00B21DF3" w:rsidRPr="00441DA0" w:rsidRDefault="00B21DF3" w:rsidP="00B21DF3">
      <w:pPr>
        <w:pStyle w:val="a7"/>
      </w:pPr>
      <w:r w:rsidRPr="00441DA0">
        <w:rPr>
          <w:rFonts w:hint="eastAsia"/>
        </w:rPr>
        <w:t>2.2  质量负责人负责与各级</w:t>
      </w:r>
      <w:r w:rsidRPr="00441DA0">
        <w:t>特种设备</w:t>
      </w:r>
      <w:r w:rsidRPr="00441DA0">
        <w:rPr>
          <w:rFonts w:hint="eastAsia"/>
        </w:rPr>
        <w:t>安全监管部门的日常联系工作。</w:t>
      </w:r>
    </w:p>
    <w:p w:rsidR="00B21DF3" w:rsidRPr="00441DA0" w:rsidRDefault="00B21DF3" w:rsidP="00B21DF3">
      <w:pPr>
        <w:pStyle w:val="a7"/>
        <w:rPr>
          <w:rFonts w:ascii="黑体" w:eastAsia="黑体" w:hAnsi="黑体"/>
        </w:rPr>
      </w:pPr>
    </w:p>
    <w:p w:rsidR="00B21DF3" w:rsidRPr="00441DA0" w:rsidRDefault="00B21DF3" w:rsidP="00B21DF3">
      <w:pPr>
        <w:pStyle w:val="a8"/>
      </w:pPr>
      <w:r w:rsidRPr="00441DA0">
        <w:rPr>
          <w:rFonts w:hint="eastAsia"/>
        </w:rPr>
        <w:t>3.要求和方法</w:t>
      </w:r>
    </w:p>
    <w:p w:rsidR="00B21DF3" w:rsidRPr="00441DA0" w:rsidRDefault="00B21DF3" w:rsidP="00B21DF3">
      <w:pPr>
        <w:pStyle w:val="a7"/>
      </w:pPr>
      <w:r w:rsidRPr="00441DA0">
        <w:rPr>
          <w:rFonts w:hint="eastAsia"/>
        </w:rPr>
        <w:t>3.1  严格按资格核准的检验项目从事特种设备的法定检验工作，不超范围检验。</w:t>
      </w:r>
    </w:p>
    <w:p w:rsidR="00B21DF3" w:rsidRPr="00441DA0" w:rsidRDefault="00B21DF3" w:rsidP="00B21DF3">
      <w:pPr>
        <w:pStyle w:val="a7"/>
      </w:pPr>
      <w:r w:rsidRPr="00441DA0">
        <w:rPr>
          <w:rFonts w:hint="eastAsia"/>
        </w:rPr>
        <w:t>3.2  自觉接受各级特种设备安全监管部门对本院监督检查，并为他们提供必要的工作条件。</w:t>
      </w:r>
    </w:p>
    <w:p w:rsidR="00B21DF3" w:rsidRPr="00441DA0" w:rsidRDefault="00B21DF3" w:rsidP="00B21DF3">
      <w:pPr>
        <w:pStyle w:val="a7"/>
      </w:pPr>
      <w:r w:rsidRPr="00441DA0">
        <w:rPr>
          <w:rFonts w:hint="eastAsia"/>
        </w:rPr>
        <w:t>3.3  定期向特种设备监管部门反映情况、汇报工作。</w:t>
      </w:r>
    </w:p>
    <w:p w:rsidR="00B21DF3" w:rsidRPr="00441DA0" w:rsidRDefault="00B21DF3" w:rsidP="00B21DF3">
      <w:pPr>
        <w:pStyle w:val="a7"/>
      </w:pPr>
      <w:r w:rsidRPr="00441DA0">
        <w:rPr>
          <w:rFonts w:hint="eastAsia"/>
        </w:rPr>
        <w:t>3.4  按时向特种设备监管部门上报有关报表。</w:t>
      </w:r>
    </w:p>
    <w:p w:rsidR="00B21DF3" w:rsidRPr="00441DA0" w:rsidRDefault="00B21DF3" w:rsidP="00B21DF3">
      <w:pPr>
        <w:pStyle w:val="a7"/>
      </w:pPr>
      <w:r w:rsidRPr="00441DA0">
        <w:rPr>
          <w:rFonts w:hint="eastAsia"/>
        </w:rPr>
        <w:t>3.5  对特种设备监管部门的意见和建议作出满意的答复并认真进行改正。</w:t>
      </w:r>
    </w:p>
    <w:p w:rsidR="00B21DF3" w:rsidRPr="00441DA0" w:rsidRDefault="00B21DF3" w:rsidP="00B21DF3">
      <w:pPr>
        <w:pStyle w:val="a7"/>
      </w:pPr>
      <w:r w:rsidRPr="00441DA0">
        <w:rPr>
          <w:rFonts w:hint="eastAsia"/>
        </w:rPr>
        <w:t>3.6  质量手册修订、组织机构调整或组织机构的最高管理层和管理职能部门的领导人调整、地址变更后按规定及时向特种设备安全监管</w:t>
      </w:r>
      <w:r w:rsidRPr="00441DA0">
        <w:rPr>
          <w:rFonts w:hint="eastAsia"/>
        </w:rPr>
        <w:lastRenderedPageBreak/>
        <w:t>部门上报备案。</w:t>
      </w:r>
    </w:p>
    <w:p w:rsidR="00B21DF3" w:rsidRPr="00441DA0" w:rsidRDefault="00B21DF3" w:rsidP="00B21DF3">
      <w:pPr>
        <w:pStyle w:val="a7"/>
      </w:pPr>
      <w:r w:rsidRPr="00441DA0">
        <w:rPr>
          <w:rFonts w:hint="eastAsia"/>
        </w:rPr>
        <w:t>3.7  按时履行复审换证手续，做好各类核准证书、机构与人员的资格证的保存管理工作，不对外出让、转借各类资格证书。</w:t>
      </w:r>
    </w:p>
    <w:p w:rsidR="00B21DF3" w:rsidRPr="00441DA0" w:rsidRDefault="00B21DF3" w:rsidP="00B21DF3">
      <w:pPr>
        <w:pStyle w:val="a7"/>
      </w:pPr>
      <w:r w:rsidRPr="00441DA0">
        <w:rPr>
          <w:rFonts w:hint="eastAsia"/>
        </w:rPr>
        <w:t>3.8  按《特种设备检验检测机构质量管理体系要求》建立、运转并持续改进质量保证体系，确保其有效可控。</w:t>
      </w:r>
    </w:p>
    <w:p w:rsidR="00B21DF3" w:rsidRPr="00441DA0" w:rsidRDefault="00B21DF3" w:rsidP="00B21DF3">
      <w:pPr>
        <w:pStyle w:val="a7"/>
      </w:pPr>
      <w:r w:rsidRPr="00441DA0">
        <w:rPr>
          <w:rFonts w:hint="eastAsia"/>
        </w:rPr>
        <w:t>3.9  按《特种设备检验检测机构核准规则》要求配置检验检测所需的基本条件，确保检验检测资源充分、可行。</w:t>
      </w:r>
    </w:p>
    <w:p w:rsidR="00B21DF3" w:rsidRPr="00441DA0" w:rsidRDefault="00B21DF3" w:rsidP="00B21DF3">
      <w:pPr>
        <w:pStyle w:val="a7"/>
      </w:pPr>
      <w:r w:rsidRPr="00441DA0">
        <w:rPr>
          <w:rFonts w:hint="eastAsia"/>
        </w:rPr>
        <w:t>3.10  对各级特种设备安全监管部门在监督过程中给本院提出的问题按JTY/GL10《检验工作技术质量信息反馈管理制度》和JTY/GL11《检验技术质量问题处理制度》的规定处理。</w:t>
      </w:r>
    </w:p>
    <w:p w:rsidR="00B21DF3" w:rsidRPr="00441DA0" w:rsidRDefault="00B21DF3" w:rsidP="00B21DF3">
      <w:pPr>
        <w:pStyle w:val="a7"/>
      </w:pPr>
      <w:r w:rsidRPr="00441DA0">
        <w:rPr>
          <w:rFonts w:hint="eastAsia"/>
        </w:rPr>
        <w:t>3.11  在接受各级特种设备安全监管部门对本院监督过程中形成的文件和记录按本院JTY/CX01《文件控制程序》和JTY/CX11《记录控制程序》的规定处理。</w:t>
      </w:r>
    </w:p>
    <w:p w:rsidR="00FA46E4" w:rsidRPr="00B21DF3" w:rsidRDefault="00FA46E4"/>
    <w:sectPr w:rsidR="00FA46E4" w:rsidRPr="00B21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BB" w:rsidRDefault="00B945BB" w:rsidP="00B21DF3">
      <w:r>
        <w:separator/>
      </w:r>
    </w:p>
  </w:endnote>
  <w:endnote w:type="continuationSeparator" w:id="0">
    <w:p w:rsidR="00B945BB" w:rsidRDefault="00B945BB" w:rsidP="00B2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BB" w:rsidRDefault="00B945BB" w:rsidP="00B21DF3">
      <w:r>
        <w:separator/>
      </w:r>
    </w:p>
  </w:footnote>
  <w:footnote w:type="continuationSeparator" w:id="0">
    <w:p w:rsidR="00B945BB" w:rsidRDefault="00B945BB" w:rsidP="00B2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8A"/>
    <w:rsid w:val="00B21DF3"/>
    <w:rsid w:val="00B945BB"/>
    <w:rsid w:val="00D50D8A"/>
    <w:rsid w:val="00F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1119C-B7AF-4936-B026-70C77DE2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DF3"/>
    <w:rPr>
      <w:sz w:val="18"/>
      <w:szCs w:val="18"/>
    </w:rPr>
  </w:style>
  <w:style w:type="paragraph" w:styleId="a4">
    <w:name w:val="footer"/>
    <w:basedOn w:val="a"/>
    <w:link w:val="Char0"/>
    <w:uiPriority w:val="99"/>
    <w:unhideWhenUsed/>
    <w:rsid w:val="00B21DF3"/>
    <w:pPr>
      <w:tabs>
        <w:tab w:val="center" w:pos="4153"/>
        <w:tab w:val="right" w:pos="8306"/>
      </w:tabs>
      <w:snapToGrid w:val="0"/>
      <w:jc w:val="left"/>
    </w:pPr>
    <w:rPr>
      <w:sz w:val="18"/>
      <w:szCs w:val="18"/>
    </w:rPr>
  </w:style>
  <w:style w:type="character" w:customStyle="1" w:styleId="Char0">
    <w:name w:val="页脚 Char"/>
    <w:basedOn w:val="a0"/>
    <w:link w:val="a4"/>
    <w:uiPriority w:val="99"/>
    <w:rsid w:val="00B21DF3"/>
    <w:rPr>
      <w:sz w:val="18"/>
      <w:szCs w:val="18"/>
    </w:rPr>
  </w:style>
  <w:style w:type="paragraph" w:customStyle="1" w:styleId="a5">
    <w:name w:val="大标题"/>
    <w:basedOn w:val="a"/>
    <w:link w:val="Char1"/>
    <w:qFormat/>
    <w:rsid w:val="00B21DF3"/>
    <w:pPr>
      <w:spacing w:line="600" w:lineRule="exact"/>
      <w:jc w:val="center"/>
    </w:pPr>
    <w:rPr>
      <w:rFonts w:ascii="宋体" w:eastAsia="宋体" w:hAnsi="宋体" w:cs="Times New Roman"/>
      <w:b/>
      <w:bCs/>
      <w:kern w:val="0"/>
      <w:sz w:val="44"/>
      <w:szCs w:val="44"/>
    </w:rPr>
  </w:style>
  <w:style w:type="character" w:customStyle="1" w:styleId="Char1">
    <w:name w:val="大标题 Char"/>
    <w:basedOn w:val="a0"/>
    <w:link w:val="a5"/>
    <w:rsid w:val="00B21DF3"/>
    <w:rPr>
      <w:rFonts w:ascii="宋体" w:eastAsia="宋体" w:hAnsi="宋体" w:cs="Times New Roman"/>
      <w:b/>
      <w:bCs/>
      <w:kern w:val="0"/>
      <w:sz w:val="44"/>
      <w:szCs w:val="44"/>
    </w:rPr>
  </w:style>
  <w:style w:type="paragraph" w:customStyle="1" w:styleId="a6">
    <w:name w:val="内文"/>
    <w:basedOn w:val="a"/>
    <w:link w:val="Char2"/>
    <w:qFormat/>
    <w:rsid w:val="00B21DF3"/>
    <w:pPr>
      <w:snapToGrid w:val="0"/>
      <w:spacing w:line="600" w:lineRule="exact"/>
      <w:ind w:firstLineChars="200" w:firstLine="200"/>
    </w:pPr>
    <w:rPr>
      <w:rFonts w:ascii="宋体" w:eastAsia="宋体" w:hAnsi="宋体" w:cs="Times New Roman"/>
      <w:kern w:val="0"/>
      <w:sz w:val="28"/>
      <w:szCs w:val="28"/>
    </w:rPr>
  </w:style>
  <w:style w:type="character" w:customStyle="1" w:styleId="Char2">
    <w:name w:val="内文 Char"/>
    <w:basedOn w:val="a0"/>
    <w:link w:val="a6"/>
    <w:rsid w:val="00B21DF3"/>
    <w:rPr>
      <w:rFonts w:ascii="宋体" w:eastAsia="宋体" w:hAnsi="宋体" w:cs="Times New Roman"/>
      <w:kern w:val="0"/>
      <w:sz w:val="28"/>
      <w:szCs w:val="28"/>
    </w:rPr>
  </w:style>
  <w:style w:type="paragraph" w:customStyle="1" w:styleId="a7">
    <w:name w:val="齐行"/>
    <w:basedOn w:val="a6"/>
    <w:link w:val="Char3"/>
    <w:qFormat/>
    <w:rsid w:val="00B21DF3"/>
    <w:pPr>
      <w:ind w:firstLineChars="0" w:firstLine="0"/>
    </w:pPr>
  </w:style>
  <w:style w:type="character" w:customStyle="1" w:styleId="Char3">
    <w:name w:val="齐行 Char"/>
    <w:basedOn w:val="a0"/>
    <w:link w:val="a7"/>
    <w:rsid w:val="00B21DF3"/>
    <w:rPr>
      <w:rFonts w:ascii="宋体" w:eastAsia="宋体" w:hAnsi="宋体" w:cs="Times New Roman"/>
      <w:kern w:val="0"/>
      <w:sz w:val="28"/>
      <w:szCs w:val="28"/>
    </w:rPr>
  </w:style>
  <w:style w:type="paragraph" w:customStyle="1" w:styleId="a8">
    <w:name w:val="一级标题"/>
    <w:basedOn w:val="a"/>
    <w:link w:val="Char4"/>
    <w:qFormat/>
    <w:rsid w:val="00B21DF3"/>
    <w:pPr>
      <w:spacing w:line="600" w:lineRule="exact"/>
      <w:jc w:val="left"/>
    </w:pPr>
    <w:rPr>
      <w:rFonts w:ascii="黑体" w:eastAsia="黑体" w:hAnsi="黑体" w:cs="Times New Roman"/>
      <w:kern w:val="0"/>
      <w:sz w:val="28"/>
      <w:szCs w:val="28"/>
    </w:rPr>
  </w:style>
  <w:style w:type="character" w:customStyle="1" w:styleId="Char4">
    <w:name w:val="一级标题 Char"/>
    <w:basedOn w:val="a0"/>
    <w:link w:val="a8"/>
    <w:rsid w:val="00B21DF3"/>
    <w:rPr>
      <w:rFonts w:ascii="黑体" w:eastAsia="黑体" w:hAnsi="黑体" w:cs="Times New Roman"/>
      <w:kern w:val="0"/>
      <w:sz w:val="28"/>
      <w:szCs w:val="28"/>
    </w:rPr>
  </w:style>
  <w:style w:type="paragraph" w:customStyle="1" w:styleId="a9">
    <w:name w:val="号 居中"/>
    <w:basedOn w:val="a"/>
    <w:link w:val="Char5"/>
    <w:qFormat/>
    <w:rsid w:val="00B21DF3"/>
    <w:pPr>
      <w:spacing w:line="600" w:lineRule="exact"/>
      <w:jc w:val="center"/>
    </w:pPr>
    <w:rPr>
      <w:rFonts w:ascii="楷体_GB2312" w:eastAsia="楷体_GB2312" w:hAnsi="宋体" w:cs="Times New Roman"/>
      <w:sz w:val="30"/>
      <w:szCs w:val="30"/>
    </w:rPr>
  </w:style>
  <w:style w:type="character" w:customStyle="1" w:styleId="Char5">
    <w:name w:val="号 居中 Char"/>
    <w:basedOn w:val="a0"/>
    <w:link w:val="a9"/>
    <w:rsid w:val="00B21DF3"/>
    <w:rPr>
      <w:rFonts w:ascii="楷体_GB2312" w:eastAsia="楷体_GB2312" w:hAnsi="宋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2022-09-20T06:34:00Z</dcterms:created>
  <dcterms:modified xsi:type="dcterms:W3CDTF">2022-09-20T06:34:00Z</dcterms:modified>
</cp:coreProperties>
</file>